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>آئين نامه تصويب و بررسي طرحهاي تحقيقاتي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 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به منظور تسريع در روند بررسي طرح هاي تحقيقاتي و ارتقاء كيفيت طرح ها در راستاي شاخص توليد علم اين آئين نامه تنظيم و اجرا مي گردد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1-  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به دانشكده ها، پژوهشکده ها ، مراكز تحقيقاتي، شوراي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HSR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، كميته تحقيقات دانشجويي،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EDC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 واحدهاي توسعه تحقيقات باليني كه داراي شوراي پژوهشي مورد تاييد معاونت تحقيقات و فن آوري دانشگاه مي باشند تفويض اختيار مي گردد كه طرح هاي تحقيقاتي تا سقف مالي تعيين شده را مورد بررسي و تصويب قرار داده و جهت تاييد نهايي به شوراي پژوهشي دانشگاه ارسال كنند. انجام داوري و بررسي طرحها بعهده واحدهاي مربوطه بوده و مستندات مربوطه به معاونت تحقيقات و فن آوري دانشگاه ارسال مي شود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بصره1: سقف مالي واحد هاي مذكور در انتهاي سال مورد بازبيني شوراي پژوهشي دانشگاه قرار گرفته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 سپس پيشنهاد شوراي پژوهشي به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هيئت رئيسه دانشگاه تقديم مي گردد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تبصره 2: معاونت تحقيقات و فن آوري دانشگاه مي تواند كليه طرح هاي تحقيقاتي را جهت بررسي و ارزيابي به داور داخل و يا خارج از دانشگاه ارسال نمايد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2-  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طرح های تحقیقاتی مصوب مراکز تحقیقاتی پس از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بررسی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و تصویب در شورای پژوهشی پژوهشکده مربوطه جهت تصویب نهائی و عقد قرارداد به شورای پژوهشی دانشگاه ارسال میگردد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3-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طرح هاي تحقيقاتي بيش از سقف مالي تعيين شده براي هر طرح پژوهشي مصوب در مراكز مربوطه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پس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از بررسي اوليه در واحدهاي ذيربط، در شوراي پژوهشي دانشگاه مورد بررسي قرار مي گيرد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4-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حداكثر طرح هاي تحقيقاتي همزمان براي مجري اول 4 عنوان مي باشد مشروط بر اينكه طرح هاي قبلي بر اساس جدول زمان بندي طرح، در حال انجام باشد و در صورتيكه، هر يك از طرح هاي قبلي مجري نسبت به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جدول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زمان بندي (گزارش 50% و يا گزارش نهايي) تأخير داشته باشد، طرح بعدي بوسيله شوراي پژوهشي دانشگاه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مورد بررسي قرار نمي‏گيرد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تبصره1: حداكثر تعداد طرح هاي تحقيقاتي همزمان براي اعضاء تمام وقت مراكز تحقيقاتي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u w:val="single"/>
        </w:rPr>
        <w:t>5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طرح مي 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تبصره2: تعداد طرح‏هاي تحقيقاتي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HSR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اعضاء هيأت علمي جزء حداكثر تعداد طرحها در نظر گرفته نمي‏شود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تبصره 3: حداكثر تعداد طرحهاي تحقيقاتي دانشجویی برای اعضای هیات علمی دانشگاه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  6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عنوان بوده و جزء حداکثر تعداد طرحها در نظر گرفته نمی شود. مشروط بر اينكه طرح هاي قبلي بر اساس جدول زمان بندي طرح، در حال انجام باشد و در صورتيكه، هر يك از طرح هاي قبلي مجري نسبت به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جدول زمان بندي (گزارش 50% و يا گزارش نهايي) تأخير داشته باشد، طرح بعدي بوسيله شوراي پژوهشي دانشگاه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مورد بررسي قرار نمي‏گيرد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lang w:bidi="ar-SA"/>
        </w:rPr>
        <w:t> 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تبصره 4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: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حداكثر تعداد طرحهاي تحقيقاتي دانشجویی برای دانشجویان دانشگاه بعنوان مجری اول 2 عنوان میباشد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5-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برون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ده مورد انتظار از هر طرح تحقيقاتي (كل طرح هاي ارائه شده از سوي دانشكده ها، پژوهشکده ها، مراكز تحقيقاتي، شوراي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HSR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، كميته تحقيقات دانشجويي،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EDC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 واحدهاي توسعه تحقيقات باليني) بر اساس میزان هزینه درخواستی برای انجام پروژه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تعیین و به شرح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جدول ذیل خواهد بود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: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</w:p>
    <w:tbl>
      <w:tblPr>
        <w:bidiVisual/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053"/>
        <w:gridCol w:w="5516"/>
        <w:gridCol w:w="1040"/>
      </w:tblGrid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بودجه طرح به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سطح نمایه مجله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محل</w:t>
            </w:r>
            <w:r w:rsidRPr="00B237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نمايه</w:t>
            </w:r>
            <w:r w:rsidRPr="00B237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شدن</w:t>
            </w:r>
            <w:r w:rsidRPr="00B237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مقالات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تعداد مقالات</w:t>
            </w:r>
          </w:p>
        </w:tc>
      </w:tr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یکصد الی یکصد و پنجاه میلیون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سطح 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ISI( Web of Sciences</w:t>
            </w:r>
            <w:r w:rsidRPr="00B2372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),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Medline/</w:t>
            </w: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</w:t>
            </w:r>
          </w:p>
        </w:tc>
      </w:tr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یکصد و پنجاه میلیون ریال الی دویست میلیون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سطح 1</w:t>
            </w:r>
          </w:p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سطح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ISI( Web of Sciences), Medline/</w:t>
            </w: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Pubmed</w:t>
            </w:r>
            <w:proofErr w:type="spellEnd"/>
          </w:p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2372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+</w:t>
            </w:r>
          </w:p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Chemical Abstract ,</w:t>
            </w: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Biosis</w:t>
            </w:r>
            <w:proofErr w:type="spellEnd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, </w:t>
            </w: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Embase</w:t>
            </w:r>
            <w:proofErr w:type="spellEnd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scoupus</w:t>
            </w:r>
            <w:proofErr w:type="spellEnd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,current content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+ یک</w:t>
            </w:r>
          </w:p>
        </w:tc>
      </w:tr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بیش از دویست میلیون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سطح 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ISI( Web of Sciences), Medline/</w:t>
            </w: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دو</w:t>
            </w:r>
          </w:p>
        </w:tc>
      </w:tr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پنجاه میلیون ریال الی یکصد میلیون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سطح 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B23724">
              <w:rPr>
                <w:rFonts w:ascii="Times New Roman" w:eastAsia="Times New Roman" w:hAnsi="Times New Roman" w:cs="B Nazanin"/>
                <w:sz w:val="24"/>
                <w:szCs w:val="24"/>
              </w:rPr>
              <w:t>Scoupus</w:t>
            </w:r>
            <w:proofErr w:type="spellEnd"/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انگلیسی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یک</w:t>
            </w:r>
          </w:p>
        </w:tc>
      </w:tr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ده میلیون ریال الی پنجاه میلیون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سطح 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مقالات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چاپ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شده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مجلات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ايندكس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شده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ساير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نمايه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نامه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هاي</w:t>
            </w:r>
            <w:r w:rsidRPr="00B237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تخصصي بین المللی و مجلات علمي- پژوهشي داخلی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یک</w:t>
            </w:r>
          </w:p>
        </w:tc>
      </w:tr>
      <w:tr w:rsidR="00B23724" w:rsidRPr="00B23724" w:rsidTr="00B23724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کمتر از ده میلیون ریال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724" w:rsidRPr="00B23724" w:rsidRDefault="00B23724" w:rsidP="00B2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37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بدون مقاله</w:t>
            </w:r>
          </w:p>
        </w:tc>
      </w:tr>
    </w:tbl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lang w:bidi="ar-SA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  <w:lang w:bidi="ar-SA"/>
        </w:rPr>
        <w:t>تبصره 1- در کلیه موارد فوق محقق میتواند از سایر نمایه ها استفاده و امتیاز معادل ارائه نماید بجز در مواردی که سقف بودجه طرح از یکصد و پنجاه میلیون ریال بالاتر باشد که در این صورت ارائه حداقل یک مقاله با نمایه سطح یک الزامی است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lang w:bidi="ar-SA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lang w:bidi="ar-SA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تبصره2- هزينه هاي متعلقه به مواد غير مصرفي اموالي شامل برون ده طرح تحقيقاتي نخواهد شد. و هزینه کرد این بودجه در اختیار معاونت تحقیقات و فناوری دانشگاه بوده که جهت خرید تجهیزات مصوب طرح و با نظر مجری طرح استفاده خواهد شد. ضمنا تجهیزات خریداری شده با شماره اموال معاونت تحقیقات و فناوری دانشگاه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در مرکز تحقیقاتی تصویب کننده طرح بکار گرفته خواهد 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6-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پرداخت اعتبار طرح هاي تحقيقاتي مصوب دانشكده ها، مراكز تحقيقاتي،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 EDC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واحدهاي توسعه تحقيقات باليني به شرح ذيل مي 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: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 50%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اعتبار پس از عقد قرارداد، و پرداخت 35% در زمان ارائه گزارش نهائی و مستندات مربوط به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submit</w:t>
      </w:r>
      <w:proofErr w:type="gramStart"/>
      <w:r w:rsidRPr="00B23724">
        <w:rPr>
          <w:rFonts w:ascii="Tahoma" w:eastAsia="Times New Roman" w:hAnsi="Tahoma" w:cs="B Nazanin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مقاله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 15 % باقیمانده منوط به اعلام پذيرش، يا اصل مقاله و يا مقالات چاپ شده ( برابر با تعهدات مجری ) و يا ارائه تأييدیه نتيجه و بكارگيري محصول طرح تحقيقاتي از مراجع ذينفع(با تشخيص معاونت تحقيقات و فناوري دانشگاه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) 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 در صورت خريد وسايل غيرمصرفي مندرج در پيش نويس طرح، ارائه شماره پلاك اموال مذكور به معاونت مي 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  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>تبصره 1</w:t>
      </w: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</w:rPr>
        <w:t>: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در صورتيكه هزينه مواد مصرفي و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انجام آزمايشات تخصصي طرح بيش از 50% اوليه بودجه طرح باشد كل هزينه مواد مصرفي طرح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تا سقف 80% قابل پرداخت مي‏ 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>تبصره2</w:t>
      </w: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</w:rPr>
        <w:t>: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مجري موظف است ظرف مدت 24 ماه پس از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عقد قرارداد مدارك اعلام پذيرش يا اصل مقاله چاپ شده و يا نتيجه بررسي و بكارگيري محصول طرح تحقيقاتي را از مراجع ذينفع استعلام نموده و به معاونت ارائه نمايد در غیر اینصورت پرونده طرح کاملا بسته میگردد و به منزله تسویه حساب نهائی خواهد بود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>تبصره3</w:t>
      </w: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</w:rPr>
        <w:t>: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نويسنده مسئول مقاله بايستي در قسمت تشكر مقاله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b/>
          <w:bCs/>
          <w:color w:val="000000"/>
          <w:sz w:val="20"/>
          <w:szCs w:val="20"/>
        </w:rPr>
        <w:t>(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Acknowledgment</w:t>
      </w:r>
      <w:r w:rsidRPr="00B23724">
        <w:rPr>
          <w:rFonts w:ascii="Tahoma" w:eastAsia="Times New Roman" w:hAnsi="Tahoma" w:cs="B Nazanin"/>
          <w:b/>
          <w:bCs/>
          <w:color w:val="000000"/>
          <w:sz w:val="20"/>
          <w:szCs w:val="20"/>
        </w:rPr>
        <w:t>)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،</w:t>
      </w: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شماره طرح و تامين كننده بودجه طرح ( معاونت تحقيقات و فناوري دانشگاه علوم پزشكي همدان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 )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را نيز قيدنمايد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7-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در کلیه موارد بندهاي ماده 5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شرط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قبول مقاله جهت تسويه حساب طرح استفاده از آدرس علمی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 (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Affiliation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)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دانشگاه علوم پزشکی همدان بوده و طرح دهندگان حق چاپ مقاله ای با آدرس دیگری نخواهند داشت مگر در مواردی که طرح تحقیقاتی بصورت مشترک انجام شده 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lastRenderedPageBreak/>
        <w:t>تبصره 1- آدرس علمی دانشگاه علوم پزشکی همدان بایستی برای مقالات فارسی ( دانشگاه علوم پزشکی همدان) و برای مقالات انگلیسی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 (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 Hamadan University of Medical Sciences, Hamadan, Iran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)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می باشد. رعایت دقیق این آدرس الزامی می باشد و مقالات خارج از این آدرس مورد قبول واقع نمی شود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8-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حداقل 70% از كل طرح هاي ارائه شده از</w:t>
      </w:r>
      <w:bookmarkStart w:id="0" w:name="_GoBack"/>
      <w:bookmarkEnd w:id="0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سوي دانشكده ها، مراكز تحقيقاتي، شوراي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HSR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، كميته تحقيقات دانشجويي،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/>
          <w:color w:val="000000"/>
          <w:sz w:val="20"/>
          <w:szCs w:val="20"/>
        </w:rPr>
        <w:t>EDC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و واحدهاي توسعه تحقيقات باليني بايستي درراستاي اولويت‏هاي پژوهشي دانشگاه 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9-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پرداخت هزينه هاي خدمات تخصصي </w:t>
      </w:r>
      <w:proofErr w:type="gramStart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( انجام</w:t>
      </w:r>
      <w:proofErr w:type="gramEnd"/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 xml:space="preserve"> آزمايشات و تست هاي پاراكلينيك و... ) در صورت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برابر بودن هزينه ها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صرفا در صورت انجام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در واحدهاي تابعه دانشگاه قابل پرداخت خواهد بود. در صورت عدم امكان انجام اين خدمات در واحد هاي تابعه دانشگاه، با نظر شوراي پژوهشي دانشگاه در مراكز خصوصي قابل انجام ميباشند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</w:t>
      </w:r>
    </w:p>
    <w:p w:rsidR="00B23724" w:rsidRPr="00B23724" w:rsidRDefault="00B23724" w:rsidP="00B2372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color w:val="000000"/>
          <w:sz w:val="20"/>
          <w:szCs w:val="20"/>
        </w:rPr>
      </w:pP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آين آئين نامه در 9 ماده در جلسه شوراي پژوهشي دانشگاه علوم پزشكي همدان مورخه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 xml:space="preserve">  13 / 12/1392 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تصويب و از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b/>
          <w:bCs/>
          <w:color w:val="000000"/>
          <w:sz w:val="20"/>
          <w:szCs w:val="20"/>
          <w:u w:val="single"/>
          <w:rtl/>
        </w:rPr>
        <w:t>ابتدای سال 1393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 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  <w:rtl/>
        </w:rPr>
        <w:t>قابل اجراء ميباشد</w:t>
      </w:r>
      <w:r w:rsidRPr="00B23724">
        <w:rPr>
          <w:rFonts w:ascii="Tahoma" w:eastAsia="Times New Roman" w:hAnsi="Tahoma" w:cs="B Nazanin" w:hint="cs"/>
          <w:color w:val="000000"/>
          <w:sz w:val="20"/>
          <w:szCs w:val="20"/>
        </w:rPr>
        <w:t>. </w:t>
      </w:r>
    </w:p>
    <w:p w:rsidR="00FF1CA0" w:rsidRPr="00B23724" w:rsidRDefault="00FF1CA0" w:rsidP="00B23724">
      <w:pPr>
        <w:rPr>
          <w:rFonts w:cs="B Nazanin"/>
        </w:rPr>
      </w:pPr>
    </w:p>
    <w:sectPr w:rsidR="00FF1CA0" w:rsidRPr="00B23724" w:rsidSect="000C70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24"/>
    <w:rsid w:val="000C7007"/>
    <w:rsid w:val="00B23724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724"/>
    <w:rPr>
      <w:b/>
      <w:bCs/>
    </w:rPr>
  </w:style>
  <w:style w:type="paragraph" w:styleId="ListParagraph">
    <w:name w:val="List Paragraph"/>
    <w:basedOn w:val="Normal"/>
    <w:uiPriority w:val="34"/>
    <w:qFormat/>
    <w:rsid w:val="00B237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724"/>
    <w:rPr>
      <w:b/>
      <w:bCs/>
    </w:rPr>
  </w:style>
  <w:style w:type="paragraph" w:styleId="ListParagraph">
    <w:name w:val="List Paragraph"/>
    <w:basedOn w:val="Normal"/>
    <w:uiPriority w:val="34"/>
    <w:qFormat/>
    <w:rsid w:val="00B237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2020-02-18T09:33:00Z</dcterms:created>
  <dcterms:modified xsi:type="dcterms:W3CDTF">2020-02-18T09:33:00Z</dcterms:modified>
</cp:coreProperties>
</file>